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E3A4FC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color w:val="000000"/>
        </w:rPr>
      </w:pPr>
      <w:bookmarkStart w:id="0" w:name="_heading=h.30j0zll" w:colFirst="0" w:colLast="0"/>
      <w:bookmarkEnd w:id="0"/>
      <w:r>
        <w:rPr>
          <w:rFonts w:ascii="Calibri" w:eastAsia="Calibri" w:hAnsi="Calibri" w:cs="Calibri"/>
          <w:color w:val="000000"/>
        </w:rPr>
        <w:t>IIS "CURIE-SRAFFA”  MILANO</w:t>
      </w:r>
    </w:p>
    <w:p w14:paraId="67E3A4FD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ind w:hanging="2"/>
        <w:jc w:val="center"/>
        <w:rPr>
          <w:rFonts w:ascii="Calibri" w:eastAsia="Calibri" w:hAnsi="Calibri" w:cs="Calibri"/>
          <w:color w:val="0000FF"/>
        </w:rPr>
      </w:pPr>
      <w:bookmarkStart w:id="1" w:name="_heading=h.gjdgxs" w:colFirst="0" w:colLast="0"/>
      <w:bookmarkEnd w:id="1"/>
      <w:r>
        <w:rPr>
          <w:rFonts w:ascii="Calibri" w:eastAsia="Calibri" w:hAnsi="Calibri" w:cs="Calibri"/>
          <w:b/>
          <w:color w:val="000000"/>
        </w:rPr>
        <w:t xml:space="preserve">TAVOLA DI PROGRAMMAZIONE COMUNE ANNUALE </w:t>
      </w:r>
      <w:r>
        <w:rPr>
          <w:rFonts w:ascii="Calibri" w:eastAsia="Calibri" w:hAnsi="Calibri" w:cs="Calibri"/>
          <w:b/>
          <w:color w:val="000000"/>
        </w:rPr>
        <w:br/>
      </w:r>
      <w:r>
        <w:rPr>
          <w:rFonts w:ascii="Calibri" w:eastAsia="Calibri" w:hAnsi="Calibri" w:cs="Calibri"/>
          <w:b/>
          <w:color w:val="0000FF"/>
        </w:rPr>
        <w:t xml:space="preserve">Anno scolastico 2025/26 </w:t>
      </w:r>
    </w:p>
    <w:tbl>
      <w:tblPr>
        <w:tblStyle w:val="af1"/>
        <w:tblW w:w="11534" w:type="dxa"/>
        <w:tblInd w:w="-70" w:type="dxa"/>
        <w:tblLayout w:type="fixed"/>
        <w:tblLook w:val="0000" w:firstRow="0" w:lastRow="0" w:firstColumn="0" w:lastColumn="0" w:noHBand="0" w:noVBand="0"/>
      </w:tblPr>
      <w:tblGrid>
        <w:gridCol w:w="3137"/>
        <w:gridCol w:w="8397"/>
      </w:tblGrid>
      <w:tr w:rsidR="00FD3698" w14:paraId="67E3A500" w14:textId="77777777">
        <w:trPr>
          <w:trHeight w:val="372"/>
        </w:trPr>
        <w:tc>
          <w:tcPr>
            <w:tcW w:w="313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4FE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Classe: </w:t>
            </w:r>
          </w:p>
        </w:tc>
        <w:tc>
          <w:tcPr>
            <w:tcW w:w="8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4FF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IV Indirizzo BIOTECNOLOGIE SANITARIE</w:t>
            </w:r>
          </w:p>
        </w:tc>
      </w:tr>
      <w:tr w:rsidR="00FD3698" w14:paraId="67E3A503" w14:textId="77777777">
        <w:trPr>
          <w:trHeight w:val="354"/>
        </w:trPr>
        <w:tc>
          <w:tcPr>
            <w:tcW w:w="3137" w:type="dxa"/>
            <w:tcBorders>
              <w:top w:val="nil"/>
              <w:left w:val="nil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50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Materia:</w:t>
            </w:r>
          </w:p>
        </w:tc>
        <w:tc>
          <w:tcPr>
            <w:tcW w:w="8397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50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Chimica Analitica e Strumentale</w:t>
            </w:r>
          </w:p>
        </w:tc>
      </w:tr>
      <w:tr w:rsidR="00D61828" w14:paraId="67E3A506" w14:textId="77777777">
        <w:trPr>
          <w:trHeight w:val="354"/>
        </w:trPr>
        <w:tc>
          <w:tcPr>
            <w:tcW w:w="3137" w:type="dxa"/>
            <w:tcBorders>
              <w:top w:val="nil"/>
              <w:left w:val="nil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504" w14:textId="77777777" w:rsidR="00D61828" w:rsidRDefault="00D61828" w:rsidP="00D618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Docenti</w:t>
            </w:r>
          </w:p>
        </w:tc>
        <w:tc>
          <w:tcPr>
            <w:tcW w:w="8397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7E3A505" w14:textId="2C9DB45F" w:rsidR="00D61828" w:rsidRDefault="00D61828" w:rsidP="00D6182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 w:rsidRPr="001B20DF">
              <w:rPr>
                <w:rFonts w:ascii="Calibri" w:eastAsia="Calibri" w:hAnsi="Calibri" w:cs="Calibri"/>
                <w:b/>
                <w:color w:val="007BB8"/>
              </w:rPr>
              <w:t>Proff Katia Rosa (teoria) + Antonino Vacirca (ITP)</w:t>
            </w:r>
            <w:r w:rsidR="00E533BE">
              <w:rPr>
                <w:rFonts w:ascii="Calibri" w:eastAsia="Calibri" w:hAnsi="Calibri" w:cs="Calibri"/>
                <w:b/>
                <w:color w:val="007BB8"/>
              </w:rPr>
              <w:t>- 4Ab</w:t>
            </w:r>
          </w:p>
        </w:tc>
      </w:tr>
    </w:tbl>
    <w:p w14:paraId="67E3A507" w14:textId="77777777" w:rsidR="00FD3698" w:rsidRDefault="00FD369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2"/>
        <w:tblW w:w="11536" w:type="dxa"/>
        <w:tblInd w:w="-118" w:type="dxa"/>
        <w:tblLayout w:type="fixed"/>
        <w:tblLook w:val="0000" w:firstRow="0" w:lastRow="0" w:firstColumn="0" w:lastColumn="0" w:noHBand="0" w:noVBand="0"/>
      </w:tblPr>
      <w:tblGrid>
        <w:gridCol w:w="3138"/>
        <w:gridCol w:w="8398"/>
      </w:tblGrid>
      <w:tr w:rsidR="00FD3698" w14:paraId="67E3A50A" w14:textId="77777777">
        <w:trPr>
          <w:trHeight w:val="655"/>
        </w:trPr>
        <w:tc>
          <w:tcPr>
            <w:tcW w:w="3138" w:type="dxa"/>
            <w:tcBorders>
              <w:top w:val="single" w:sz="4" w:space="0" w:color="000000"/>
              <w:bottom w:val="single" w:sz="4" w:space="0" w:color="000000"/>
            </w:tcBorders>
          </w:tcPr>
          <w:p w14:paraId="67E3A508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Testo utilizzato:</w:t>
            </w:r>
          </w:p>
        </w:tc>
        <w:tc>
          <w:tcPr>
            <w:tcW w:w="8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09" w14:textId="74403892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Cozzi Protti Ruaro- Elementi di analisi per biotecnologie ambientali e sanitarie- Zanichelli</w:t>
            </w:r>
            <w:r w:rsidR="00D61828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- II edizione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br/>
              <w:t>Rubino Venzaghi Cozzi- Le basi della chimica analitica- Zanichelli</w:t>
            </w:r>
          </w:p>
        </w:tc>
      </w:tr>
    </w:tbl>
    <w:p w14:paraId="67E3A50B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b/>
          <w:sz w:val="22"/>
          <w:szCs w:val="22"/>
        </w:rPr>
      </w:pPr>
    </w:p>
    <w:p w14:paraId="67E3A50C" w14:textId="77777777" w:rsidR="00FD3698" w:rsidRDefault="00000000">
      <w:pPr>
        <w:ind w:hanging="2"/>
        <w:rPr>
          <w:rFonts w:ascii="Calibri" w:eastAsia="Calibri" w:hAnsi="Calibri" w:cs="Calibri"/>
          <w:strike/>
          <w:color w:val="0000FF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Gli obiettivi minimi sono indicati con sottolineatura</w:t>
      </w:r>
      <w:r>
        <w:rPr>
          <w:rFonts w:ascii="Calibri" w:eastAsia="Calibri" w:hAnsi="Calibri" w:cs="Calibri"/>
          <w:strike/>
          <w:sz w:val="22"/>
          <w:szCs w:val="22"/>
        </w:rPr>
        <w:t xml:space="preserve"> </w:t>
      </w:r>
    </w:p>
    <w:tbl>
      <w:tblPr>
        <w:tblStyle w:val="af3"/>
        <w:tblW w:w="14358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37"/>
        <w:gridCol w:w="6237"/>
        <w:gridCol w:w="5529"/>
        <w:gridCol w:w="1275"/>
        <w:gridCol w:w="180"/>
      </w:tblGrid>
      <w:tr w:rsidR="00FD3698" w14:paraId="67E3A515" w14:textId="77777777">
        <w:trPr>
          <w:trHeight w:val="600"/>
        </w:trPr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0D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0E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UD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0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1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Obiettivi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1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Contenuti</w:t>
            </w:r>
          </w:p>
          <w:p w14:paraId="67E3A51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Disciplinari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13" w14:textId="42D918A4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0" w:type="dxa"/>
            <w:tcBorders>
              <w:left w:val="single" w:sz="4" w:space="0" w:color="000000"/>
            </w:tcBorders>
          </w:tcPr>
          <w:p w14:paraId="67E3A514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FD3698" w14:paraId="67E3A533" w14:textId="77777777">
        <w:trPr>
          <w:gridAfter w:val="1"/>
          <w:wAfter w:w="180" w:type="dxa"/>
          <w:trHeight w:val="1612"/>
        </w:trPr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16" w14:textId="77777777" w:rsidR="00FD3698" w:rsidRPr="001B093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1B0935"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  <w:p w14:paraId="67E3A517" w14:textId="77777777" w:rsidR="00FD3698" w:rsidRPr="001B093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  <w:r w:rsidRPr="001B0935"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 xml:space="preserve">Equilibri acido-base. </w:t>
            </w:r>
            <w:r w:rsidRPr="001B0935"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br/>
            </w:r>
          </w:p>
          <w:p w14:paraId="67E3A518" w14:textId="77777777" w:rsidR="00FD3698" w:rsidRPr="001B093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1B0935"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Acidi e basi forti:</w:t>
            </w:r>
            <w:r w:rsidRPr="001B0935"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br/>
              <w:t>(RIPASSO, se già fatto in III)</w:t>
            </w:r>
          </w:p>
          <w:p w14:paraId="67E3A519" w14:textId="77777777" w:rsidR="00FD3698" w:rsidRPr="001B0935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1A" w14:textId="77777777" w:rsidR="00FD3698" w:rsidRPr="001B0935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1B" w14:textId="77777777" w:rsidR="00FD3698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la definizione di acido e di base secondo la teoria di Bronsted e sapere che cos’è una coppia coniugata acido-base</w:t>
            </w:r>
          </w:p>
          <w:p w14:paraId="67E3A51C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l’espressione della costante di equilibrio Ka per la reazione di ionizzazione di un acido e Kb   per una base</w:t>
            </w:r>
          </w:p>
          <w:p w14:paraId="67E3A51D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Sapere che cosa significa forza di un acido (o base)</w:t>
            </w:r>
          </w:p>
          <w:p w14:paraId="67E3A51E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l’espressione del prodotto ionico dell’acqua Kw</w:t>
            </w:r>
          </w:p>
          <w:p w14:paraId="67E3A51F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la scala pH di acidità, il pOH e il pKw</w:t>
            </w:r>
          </w:p>
          <w:p w14:paraId="67E3A520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Saper calcolare concentrazioni di ioni H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  <w:vertAlign w:val="superscript"/>
              </w:rPr>
              <w:t>+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e OH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  <w:vertAlign w:val="superscript"/>
              </w:rPr>
              <w:t>-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noti i valori di pH, pOH, pKw (e viceversa)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br/>
            </w:r>
          </w:p>
          <w:p w14:paraId="67E3A521" w14:textId="77777777" w:rsidR="00FD3698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570" w:hanging="5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Saper calcolare il pH della soluzione di un acido (o base) forte nota la concentrazione (e viceversa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)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2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  </w:t>
            </w: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  <w:u w:val="single"/>
              </w:rPr>
              <w:t>Acidi e basi forti - pH</w:t>
            </w:r>
          </w:p>
          <w:p w14:paraId="67E3A523" w14:textId="77777777" w:rsidR="00FD369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La forza di acidi e basi</w:t>
            </w:r>
          </w:p>
          <w:p w14:paraId="67E3A524" w14:textId="77777777" w:rsidR="00FD369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caratteristiche anfotere dell’acqua</w:t>
            </w:r>
          </w:p>
          <w:p w14:paraId="67E3A525" w14:textId="77777777" w:rsidR="00FD369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scala di acidità</w:t>
            </w:r>
          </w:p>
          <w:p w14:paraId="67E3A526" w14:textId="77777777" w:rsidR="00FD369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Il pH di acidi e basi forti</w:t>
            </w:r>
          </w:p>
          <w:p w14:paraId="67E3A527" w14:textId="77777777" w:rsidR="00FD369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Il pH di miscele di più acidi forti (o più basi forti)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  <w:p w14:paraId="67E3A528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32" w14:textId="2F54F751" w:rsidR="00FD3698" w:rsidRDefault="00FD3698">
            <w:pP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FD3698" w14:paraId="67E3A53C" w14:textId="77777777">
        <w:trPr>
          <w:gridAfter w:val="1"/>
          <w:wAfter w:w="180" w:type="dxa"/>
          <w:trHeight w:val="1612"/>
        </w:trPr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34" w14:textId="77777777" w:rsidR="00FD3698" w:rsidRPr="001B0935" w:rsidRDefault="00000000">
            <w:pP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 w:rsidRPr="001B0935"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Acidi e basi forti, con reazioni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35" w14:textId="77777777" w:rsidR="00FD3698" w:rsidRDefault="00000000">
            <w:pPr>
              <w:numPr>
                <w:ilvl w:val="0"/>
                <w:numId w:val="5"/>
              </w:numP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Saper calcolare, note le concentrazioni, 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il pH</w:t>
            </w:r>
            <w:r>
              <w:rPr>
                <w:rFonts w:ascii="Calibri" w:eastAsia="Calibri" w:hAnsi="Calibri" w:cs="Calibri"/>
                <w:color w:val="0000FF"/>
                <w:sz w:val="22"/>
                <w:szCs w:val="22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dopo una reazione  di Acidi forti con Basi forti </w:t>
            </w:r>
          </w:p>
          <w:p w14:paraId="67E3A536" w14:textId="77777777" w:rsidR="00FD3698" w:rsidRDefault="00000000">
            <w:pPr>
              <w:numPr>
                <w:ilvl w:val="0"/>
                <w:numId w:val="5"/>
              </w:numP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Saper interpretare la curva teorica di variazione del pH nelle titolazioni acido forte-base forte (e viceversa)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37" w14:textId="77777777" w:rsidR="00FD3698" w:rsidRPr="001B0935" w:rsidRDefault="00000000">
            <w:pPr>
              <w:ind w:firstLine="0"/>
              <w:jc w:val="both"/>
              <w:rPr>
                <w:rFonts w:ascii="Calibri" w:eastAsia="Calibri" w:hAnsi="Calibri" w:cs="Calibri"/>
                <w:b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 </w:t>
            </w:r>
            <w:r w:rsidRPr="001B0935">
              <w:rPr>
                <w:rFonts w:ascii="Calibri" w:eastAsia="Calibri" w:hAnsi="Calibri" w:cs="Calibri"/>
                <w:b/>
                <w:sz w:val="22"/>
                <w:szCs w:val="22"/>
                <w:u w:val="single"/>
              </w:rPr>
              <w:t>Acidi e basi forti, con reazioni - pH</w:t>
            </w:r>
          </w:p>
          <w:p w14:paraId="67E3A538" w14:textId="77777777" w:rsidR="00FD3698" w:rsidRDefault="00000000">
            <w:pPr>
              <w:numPr>
                <w:ilvl w:val="0"/>
                <w:numId w:val="2"/>
              </w:numP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Il pH di miscele di acidi forti con basi forti: reazione di neutralizzazione</w:t>
            </w:r>
          </w:p>
          <w:p w14:paraId="67E3A539" w14:textId="77777777" w:rsidR="00FD3698" w:rsidRDefault="00000000">
            <w:pPr>
              <w:numPr>
                <w:ilvl w:val="0"/>
                <w:numId w:val="2"/>
              </w:numP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Le curve di titolazione acido forte-base forte</w:t>
            </w:r>
          </w:p>
          <w:p w14:paraId="67E3A53A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3B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tbl>
      <w:tblPr>
        <w:tblStyle w:val="af4"/>
        <w:tblW w:w="14358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37"/>
        <w:gridCol w:w="6237"/>
        <w:gridCol w:w="5529"/>
        <w:gridCol w:w="1275"/>
        <w:gridCol w:w="180"/>
      </w:tblGrid>
      <w:tr w:rsidR="00FD3698" w14:paraId="67E3A547" w14:textId="77777777">
        <w:trPr>
          <w:trHeight w:val="600"/>
        </w:trPr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3F" w14:textId="73E29335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lastRenderedPageBreak/>
              <w:br w:type="page"/>
            </w:r>
          </w:p>
          <w:p w14:paraId="67E3A54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UD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41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4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Obiettivi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4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Contenuti</w:t>
            </w:r>
          </w:p>
          <w:p w14:paraId="67E3A54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Disciplinari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45" w14:textId="5636481F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0" w:type="dxa"/>
            <w:tcBorders>
              <w:left w:val="single" w:sz="4" w:space="0" w:color="000000"/>
            </w:tcBorders>
          </w:tcPr>
          <w:p w14:paraId="67E3A546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67E3A548" w14:textId="77777777" w:rsidR="00FD3698" w:rsidRDefault="00FD369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5"/>
        <w:tblW w:w="14505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55"/>
        <w:gridCol w:w="6255"/>
        <w:gridCol w:w="5490"/>
        <w:gridCol w:w="1275"/>
        <w:gridCol w:w="330"/>
      </w:tblGrid>
      <w:tr w:rsidR="00FD3698" w14:paraId="67E3A561" w14:textId="77777777">
        <w:trPr>
          <w:gridAfter w:val="1"/>
          <w:wAfter w:w="330" w:type="dxa"/>
          <w:trHeight w:val="2361"/>
        </w:trPr>
        <w:tc>
          <w:tcPr>
            <w:tcW w:w="1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4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</w:p>
          <w:p w14:paraId="67E3A54A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 xml:space="preserve">Equilibri acido-base. </w:t>
            </w:r>
          </w:p>
          <w:p w14:paraId="67E3A54B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</w:pPr>
          </w:p>
          <w:p w14:paraId="67E3A54C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Acidi e basi deboli.</w:t>
            </w:r>
          </w:p>
          <w:p w14:paraId="67E3A54D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Sistemi tampone</w:t>
            </w:r>
          </w:p>
          <w:p w14:paraId="67E3A54E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4F" w14:textId="77777777" w:rsidR="00FD369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Sapere calcolare il pH della soluzione di un acido (o base) debole noti 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la concentrazione e il valore di Ka (Kb)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e viceversa</w:t>
            </w:r>
          </w:p>
          <w:p w14:paraId="67E3A550" w14:textId="77777777" w:rsidR="00FD369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Saper scrivere le reazioni di neutralizzazione di un acido debole con una base forte (o viceversa) 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  <w:p w14:paraId="67E3A551" w14:textId="77777777" w:rsidR="00FD369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Saper riconoscere se una soluzione salina è neutra,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acida o basica</w:t>
            </w:r>
          </w:p>
          <w:p w14:paraId="67E3A552" w14:textId="77777777" w:rsidR="00FD369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Saper scrivere le reazioni di idrolisi di un sale con le relative costanti di equilibrio</w:t>
            </w:r>
          </w:p>
          <w:p w14:paraId="67E3A553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54" w14:textId="77777777" w:rsidR="00FD3698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Saper riconoscere un sistema tampone e la sua importanza nei sistemi biologici,</w:t>
            </w:r>
            <w:r>
              <w:rPr>
                <w:rFonts w:ascii="Calibri" w:eastAsia="Calibri" w:hAnsi="Calibri" w:cs="Calibri"/>
                <w:color w:val="0000FF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sapere come scegliere il tampone in base al pH desiderato.</w:t>
            </w:r>
          </w:p>
          <w:p w14:paraId="67E3A555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56" w14:textId="77777777" w:rsidR="00FD3698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Acidi e basi deboli. Tamponi</w:t>
            </w:r>
          </w:p>
          <w:p w14:paraId="67E3A557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- Il pH di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acidi (basi) deboli </w:t>
            </w:r>
          </w:p>
          <w:p w14:paraId="67E3A558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-Neutralizzazione di acidi deboli con basi forti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</w:r>
          </w:p>
          <w:p w14:paraId="67E3A55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- Equilibrio di idrolisi salina</w:t>
            </w:r>
          </w:p>
          <w:p w14:paraId="67E3A55A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5B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Calibri" w:eastAsia="Calibri" w:hAnsi="Calibri" w:cs="Calibri"/>
                <w:strike/>
                <w:color w:val="548DD4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- Introduzione ai sistemi tampone. Potere tamponante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60" w14:textId="5CB2C2E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FD3698" w14:paraId="67E3A57D" w14:textId="77777777">
        <w:trPr>
          <w:trHeight w:val="3535"/>
        </w:trPr>
        <w:tc>
          <w:tcPr>
            <w:tcW w:w="1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6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3</w:t>
            </w:r>
          </w:p>
          <w:p w14:paraId="67E3A56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color w:val="000000"/>
                <w:sz w:val="22"/>
                <w:szCs w:val="22"/>
              </w:rPr>
              <w:t>Metodi elettro</w:t>
            </w:r>
          </w:p>
          <w:p w14:paraId="67E3A56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color w:val="000000"/>
                <w:sz w:val="22"/>
                <w:szCs w:val="22"/>
              </w:rPr>
              <w:t>chimici</w:t>
            </w:r>
          </w:p>
          <w:p w14:paraId="67E3A565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66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67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Conoscere la differenza tra conduttori di prima e seconda specie.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br/>
            </w:r>
          </w:p>
          <w:p w14:paraId="67E3A568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Conoscere la definizione di elettrodo e il relativo funzionamento. </w:t>
            </w:r>
          </w:p>
          <w:p w14:paraId="67E3A56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i principi su cui si basa la potenziometria e l’elettrodo a vetro (pHmetria)</w:t>
            </w:r>
          </w:p>
          <w:p w14:paraId="67E3A56A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</w:t>
            </w:r>
          </w:p>
          <w:p w14:paraId="67E3A56B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la legge di Nernst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br/>
              <w:t>Conoscere struttura e funzionamento del potenziometro</w:t>
            </w:r>
          </w:p>
          <w:p w14:paraId="67E3A56C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6D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Essere in grado di condurre un’analisi sperimentale potenziometrica</w:t>
            </w:r>
          </w:p>
          <w:p w14:paraId="67E3A56E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Costruire ed interpretare grafici di titolazione.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6F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Potenziometria.</w:t>
            </w:r>
          </w:p>
          <w:p w14:paraId="67E3A57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Potenziale di elettrodo, legge di Nernst.  </w:t>
            </w:r>
          </w:p>
          <w:p w14:paraId="67E3A57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Celle galvaniche e strutture degli elettrodi principali, sia di riferimento che di misura.</w:t>
            </w:r>
          </w:p>
          <w:p w14:paraId="67E3A57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Elettrodo a vetro</w:t>
            </w:r>
          </w:p>
          <w:p w14:paraId="67E3A57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Misure di pH</w:t>
            </w:r>
          </w:p>
          <w:p w14:paraId="67E3A57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Titolazioni potenziometriche: acido-base, relativi grafici</w:t>
            </w:r>
          </w:p>
          <w:p w14:paraId="67E3A575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76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77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trike/>
                <w:sz w:val="22"/>
                <w:szCs w:val="22"/>
              </w:rPr>
            </w:pPr>
          </w:p>
          <w:p w14:paraId="67E3A57B" w14:textId="48A561D9" w:rsidR="00FD3698" w:rsidRDefault="00000000" w:rsidP="001B09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225" w:hanging="2"/>
              <w:rPr>
                <w:rFonts w:ascii="Calibri" w:eastAsia="Calibri" w:hAnsi="Calibri" w:cs="Calibri"/>
                <w:strike/>
                <w:sz w:val="22"/>
                <w:szCs w:val="22"/>
              </w:rPr>
            </w:pPr>
            <w:r>
              <w:rPr>
                <w:rFonts w:ascii="Calibri" w:eastAsia="Calibri" w:hAnsi="Calibri" w:cs="Calibri"/>
                <w:strike/>
                <w:sz w:val="22"/>
                <w:szCs w:val="22"/>
              </w:rPr>
              <w:t xml:space="preserve"> </w:t>
            </w:r>
          </w:p>
        </w:tc>
        <w:tc>
          <w:tcPr>
            <w:tcW w:w="330" w:type="dxa"/>
            <w:tcBorders>
              <w:top w:val="single" w:sz="4" w:space="0" w:color="000000"/>
              <w:left w:val="single" w:sz="4" w:space="0" w:color="000000"/>
            </w:tcBorders>
          </w:tcPr>
          <w:p w14:paraId="67E3A57C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67E3A57E" w14:textId="77777777" w:rsidR="00FD3698" w:rsidRDefault="00000000">
      <w:pPr>
        <w:ind w:hanging="2"/>
      </w:pPr>
      <w:r>
        <w:br w:type="page"/>
      </w:r>
    </w:p>
    <w:tbl>
      <w:tblPr>
        <w:tblStyle w:val="af6"/>
        <w:tblW w:w="14397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24"/>
        <w:gridCol w:w="6157"/>
        <w:gridCol w:w="5459"/>
        <w:gridCol w:w="1297"/>
        <w:gridCol w:w="180"/>
        <w:gridCol w:w="180"/>
      </w:tblGrid>
      <w:tr w:rsidR="00FD3698" w14:paraId="67E3A587" w14:textId="77777777">
        <w:trPr>
          <w:gridAfter w:val="1"/>
          <w:wAfter w:w="180" w:type="dxa"/>
          <w:trHeight w:val="600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7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UD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81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Obiettivi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8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Contenuti</w:t>
            </w:r>
          </w:p>
          <w:p w14:paraId="67E3A58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Disciplinari</w:t>
            </w:r>
          </w:p>
        </w:tc>
        <w:tc>
          <w:tcPr>
            <w:tcW w:w="1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85" w14:textId="7DE8C226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0" w:type="dxa"/>
            <w:tcBorders>
              <w:left w:val="single" w:sz="4" w:space="0" w:color="000000"/>
            </w:tcBorders>
          </w:tcPr>
          <w:p w14:paraId="67E3A586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FD3698" w14:paraId="67E3A5AB" w14:textId="77777777">
        <w:trPr>
          <w:trHeight w:val="3254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88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4</w:t>
            </w:r>
          </w:p>
          <w:p w14:paraId="67E3A58A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color w:val="000000"/>
                <w:sz w:val="22"/>
                <w:szCs w:val="22"/>
              </w:rPr>
              <w:t xml:space="preserve">Metodi ottici: </w:t>
            </w:r>
          </w:p>
          <w:p w14:paraId="67E3A58B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C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color w:val="000000"/>
                <w:sz w:val="22"/>
                <w:szCs w:val="22"/>
              </w:rPr>
              <w:t>UV/VIS</w:t>
            </w:r>
          </w:p>
          <w:p w14:paraId="67E3A58D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E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8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90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9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Conoscere le grandezze che descrivono una radiazione elettromagnetica</w:t>
            </w:r>
          </w:p>
          <w:p w14:paraId="67E3A592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</w:p>
          <w:p w14:paraId="67E3A59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Conoscere i principi alla base della spettrofotometria UV/Visibile e la legge di Lambert e Beer. </w:t>
            </w:r>
          </w:p>
          <w:p w14:paraId="67E3A59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Conoscere lo schema a blocchi di uno spettrofotometro</w:t>
            </w:r>
          </w:p>
          <w:p w14:paraId="67E3A595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</w:p>
          <w:p w14:paraId="67E3A596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</w:pPr>
          </w:p>
          <w:p w14:paraId="67E3A597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B0F0"/>
                <w:sz w:val="22"/>
                <w:szCs w:val="22"/>
              </w:rPr>
            </w:pP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98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Caratteristiche della radiazione elettromagnetica: frequenza, lunghezza d’onda, intensità, energia  </w:t>
            </w:r>
          </w:p>
          <w:p w14:paraId="67E3A59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Lo spettro elettromagnetico</w:t>
            </w:r>
          </w:p>
          <w:p w14:paraId="67E3A59A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9B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Analisi spettrofotometrica nell’UV/VIS: principio teorico,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Livelli energetici  e transizioni nelle molecole organiche. Gruppi cromofori</w:t>
            </w:r>
          </w:p>
          <w:p w14:paraId="67E3A59C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Trasmittanza e assorbanza. Legge di Lambert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-Beer.</w:t>
            </w:r>
          </w:p>
          <w:p w14:paraId="67E3A59D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9E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Schema dello strumento, applicazioni in analisi quantitativa (metodo della retta di taratura). 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  <w:t>Scelta della lambda max</w:t>
            </w:r>
          </w:p>
        </w:tc>
        <w:tc>
          <w:tcPr>
            <w:tcW w:w="1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9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A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 </w:t>
            </w:r>
          </w:p>
          <w:p w14:paraId="67E3A5A1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A2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A3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  <w:p w14:paraId="67E3A5A7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trike/>
                <w:color w:val="FF0000"/>
                <w:sz w:val="22"/>
                <w:szCs w:val="22"/>
              </w:rPr>
            </w:pPr>
          </w:p>
          <w:p w14:paraId="67E3A5A8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B0F0"/>
                <w:sz w:val="22"/>
                <w:szCs w:val="22"/>
              </w:rPr>
            </w:pPr>
          </w:p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</w:tcBorders>
          </w:tcPr>
          <w:p w14:paraId="67E3A5A9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80" w:type="dxa"/>
          </w:tcPr>
          <w:p w14:paraId="67E3A5AA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67E3A5AC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sz w:val="22"/>
          <w:szCs w:val="22"/>
        </w:rPr>
      </w:pPr>
    </w:p>
    <w:tbl>
      <w:tblPr>
        <w:tblStyle w:val="af7"/>
        <w:tblW w:w="13892" w:type="dxa"/>
        <w:tblInd w:w="-6" w:type="dxa"/>
        <w:tblLayout w:type="fixed"/>
        <w:tblLook w:val="0400" w:firstRow="0" w:lastRow="0" w:firstColumn="0" w:lastColumn="0" w:noHBand="0" w:noVBand="1"/>
      </w:tblPr>
      <w:tblGrid>
        <w:gridCol w:w="1134"/>
        <w:gridCol w:w="6237"/>
        <w:gridCol w:w="5387"/>
        <w:gridCol w:w="1134"/>
      </w:tblGrid>
      <w:tr w:rsidR="00FD3698" w14:paraId="67E3A5BD" w14:textId="77777777">
        <w:trPr>
          <w:trHeight w:val="256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AD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  <w:p w14:paraId="67E3A5AE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  <w:p w14:paraId="67E3A5A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FF0000"/>
                <w:sz w:val="22"/>
                <w:szCs w:val="22"/>
              </w:rPr>
            </w:pPr>
          </w:p>
          <w:p w14:paraId="67E3A5B0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b/>
                <w:i/>
                <w:color w:val="00B0F0"/>
                <w:sz w:val="22"/>
                <w:szCs w:val="22"/>
              </w:rPr>
            </w:pPr>
          </w:p>
          <w:p w14:paraId="67E3A5B1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b/>
                <w:i/>
                <w:color w:val="0000FF"/>
                <w:sz w:val="22"/>
                <w:szCs w:val="22"/>
              </w:rPr>
            </w:pP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B2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LAB Il  TRATTAMENTO dei DATI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</w:rPr>
              <w:br/>
              <w:t>Saper esprimere il risultato associato ad una serie di misure, utilizzando la media e gli indicatori di dispersione (range, deviazione standard)</w:t>
            </w:r>
          </w:p>
          <w:p w14:paraId="67E3A5B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trike/>
                <w:color w:val="FF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Saper riconoscere i dati anomali e quando si possono scartare </w:t>
            </w:r>
          </w:p>
          <w:p w14:paraId="67E3A5B4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B5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B0F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 (con esercitazioni in excel)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B6" w14:textId="77777777" w:rsidR="00FD369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Dispersione dei dati: media, deviazione standard. </w:t>
            </w:r>
          </w:p>
          <w:p w14:paraId="67E3A5B7" w14:textId="77777777" w:rsidR="00FD3698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Dati anomali</w:t>
            </w:r>
          </w:p>
          <w:p w14:paraId="67E3A5B8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B9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3A5BA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 </w:t>
            </w:r>
          </w:p>
          <w:p w14:paraId="67E3A5BB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trike/>
                <w:color w:val="000000"/>
                <w:sz w:val="22"/>
                <w:szCs w:val="22"/>
              </w:rPr>
            </w:pPr>
          </w:p>
          <w:p w14:paraId="67E3A5BC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FF0000"/>
                <w:sz w:val="22"/>
                <w:szCs w:val="22"/>
              </w:rPr>
            </w:pPr>
          </w:p>
        </w:tc>
      </w:tr>
    </w:tbl>
    <w:p w14:paraId="67E3A5BE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sz w:val="22"/>
          <w:szCs w:val="22"/>
        </w:rPr>
      </w:pPr>
      <w:r>
        <w:br w:type="page"/>
      </w:r>
    </w:p>
    <w:p w14:paraId="67E3A5BF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Scegliere un’altra tecnica da introdurre  (</w:t>
      </w:r>
      <w:r>
        <w:rPr>
          <w:rFonts w:ascii="Calibri" w:eastAsia="Calibri" w:hAnsi="Calibri" w:cs="Calibri"/>
          <w:i/>
          <w:sz w:val="22"/>
          <w:szCs w:val="22"/>
        </w:rPr>
        <w:t>cenno),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br/>
        <w:t>A SCELTA tra:</w:t>
      </w:r>
    </w:p>
    <w:tbl>
      <w:tblPr>
        <w:tblStyle w:val="af8"/>
        <w:tblW w:w="14217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24"/>
        <w:gridCol w:w="6157"/>
        <w:gridCol w:w="5459"/>
        <w:gridCol w:w="1117"/>
        <w:gridCol w:w="180"/>
        <w:gridCol w:w="180"/>
      </w:tblGrid>
      <w:tr w:rsidR="00FD3698" w14:paraId="67E3A5C8" w14:textId="77777777">
        <w:trPr>
          <w:trHeight w:val="600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0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C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UD.5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2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C3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Obiettivi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Contenuti</w:t>
            </w:r>
          </w:p>
          <w:p w14:paraId="67E3A5C5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Disciplinari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6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Tempi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br/>
              <w:t>(entro…)</w:t>
            </w:r>
          </w:p>
        </w:tc>
        <w:tc>
          <w:tcPr>
            <w:tcW w:w="360" w:type="dxa"/>
            <w:gridSpan w:val="2"/>
            <w:tcBorders>
              <w:left w:val="single" w:sz="4" w:space="0" w:color="000000"/>
            </w:tcBorders>
          </w:tcPr>
          <w:p w14:paraId="67E3A5C7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FD3698" w14:paraId="67E3A5D3" w14:textId="77777777">
        <w:trPr>
          <w:trHeight w:val="1135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9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</w:p>
          <w:p w14:paraId="67E3A5CA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 xml:space="preserve">Assorbimento atomico 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B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Conoscere i principi alla base della spettrofotometria di assorbimento atomico e gli ambiti di applicazione</w:t>
            </w:r>
          </w:p>
          <w:p w14:paraId="67E3A5CC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Conoscere lo schema dello strumento</w:t>
            </w:r>
          </w:p>
          <w:p w14:paraId="67E3A5CD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Saper eseguire un’analisi quantitativa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CE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Analisi spettrofotometrica in assorbimento atomico (AAS): principio teorico, applicazioni analitiche</w:t>
            </w:r>
          </w:p>
          <w:p w14:paraId="67E3A5CF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0" w14:textId="7D8BBD09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</w:tcBorders>
          </w:tcPr>
          <w:p w14:paraId="67E3A5D1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0" w:type="dxa"/>
          </w:tcPr>
          <w:p w14:paraId="67E3A5D2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FD3698" w14:paraId="67E3A5DD" w14:textId="77777777">
        <w:trPr>
          <w:trHeight w:val="545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4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</w:p>
          <w:p w14:paraId="67E3A5D5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 xml:space="preserve">     IR</w:t>
            </w:r>
          </w:p>
        </w:tc>
        <w:tc>
          <w:tcPr>
            <w:tcW w:w="6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6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Conoscere i principi alla base della spettrofotometria IR</w:t>
            </w:r>
          </w:p>
          <w:p w14:paraId="67E3A5D7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Conoscere lo schema di uno spettrofotometro IR</w:t>
            </w:r>
          </w:p>
          <w:p w14:paraId="67E3A5D8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Saper interpretare a grandi linee uno spettro IR</w:t>
            </w:r>
          </w:p>
        </w:tc>
        <w:tc>
          <w:tcPr>
            <w:tcW w:w="5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9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Analisi spettrofotometrica nell’infrarosso: principi teorici, strumento, picchi di assorbimento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A" w14:textId="74E00E15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</w:tcBorders>
          </w:tcPr>
          <w:p w14:paraId="67E3A5DB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0" w:type="dxa"/>
          </w:tcPr>
          <w:p w14:paraId="67E3A5DC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67E3A5DE" w14:textId="77777777" w:rsidR="00FD3698" w:rsidRDefault="00FD369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rFonts w:ascii="Calibri" w:eastAsia="Calibri" w:hAnsi="Calibri" w:cs="Calibri"/>
          <w:sz w:val="22"/>
          <w:szCs w:val="22"/>
        </w:rPr>
      </w:pPr>
    </w:p>
    <w:tbl>
      <w:tblPr>
        <w:tblStyle w:val="af9"/>
        <w:tblW w:w="14273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1129"/>
        <w:gridCol w:w="6183"/>
        <w:gridCol w:w="5449"/>
        <w:gridCol w:w="1134"/>
        <w:gridCol w:w="198"/>
        <w:gridCol w:w="180"/>
      </w:tblGrid>
      <w:tr w:rsidR="00FD3698" w14:paraId="67E3A5EB" w14:textId="77777777">
        <w:trPr>
          <w:trHeight w:val="1083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DF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Tecniche cromatografiche</w:t>
            </w:r>
          </w:p>
        </w:tc>
        <w:tc>
          <w:tcPr>
            <w:tcW w:w="6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E0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Conoscere i principi alla base delle separazioni cromatografiche</w:t>
            </w:r>
          </w:p>
          <w:p w14:paraId="67E3A5E1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Saper descrivere la classificazione delle tecniche cromatografiche in base ai principali meccanismi di separazione e le loro possibili applicazioni</w:t>
            </w:r>
          </w:p>
          <w:p w14:paraId="67E3A5E2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  <w:u w:val="single"/>
              </w:rPr>
            </w:pPr>
          </w:p>
          <w:p w14:paraId="67E3A5E3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E4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Tecniche cromatografiche: principi e applicazioni.</w:t>
            </w:r>
          </w:p>
          <w:p w14:paraId="67E3A5E5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Fase stazionaria. Fase mobile</w:t>
            </w:r>
          </w:p>
          <w:p w14:paraId="67E3A5E6" w14:textId="77777777" w:rsidR="00FD369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Il cromatogramma.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7E3A5E7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E3A5E8" w14:textId="7578AFBE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98" w:type="dxa"/>
            <w:tcBorders>
              <w:left w:val="single" w:sz="4" w:space="0" w:color="000000"/>
            </w:tcBorders>
          </w:tcPr>
          <w:p w14:paraId="67E3A5E9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0" w:type="dxa"/>
          </w:tcPr>
          <w:p w14:paraId="67E3A5EA" w14:textId="77777777" w:rsidR="00FD3698" w:rsidRDefault="00FD36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67E3A5EC" w14:textId="77777777" w:rsidR="00FD3698" w:rsidRDefault="00FD3698">
      <w:pPr>
        <w:ind w:hanging="2"/>
      </w:pPr>
    </w:p>
    <w:p w14:paraId="67E3A5ED" w14:textId="77777777" w:rsidR="00FD3698" w:rsidRDefault="00000000">
      <w:pPr>
        <w:ind w:hanging="2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VALUTAZIONE: </w:t>
      </w:r>
      <w:r>
        <w:rPr>
          <w:rFonts w:ascii="Calibri" w:eastAsia="Calibri" w:hAnsi="Calibri" w:cs="Calibri"/>
          <w:b/>
          <w:sz w:val="22"/>
          <w:szCs w:val="22"/>
        </w:rPr>
        <w:tab/>
      </w:r>
    </w:p>
    <w:p w14:paraId="67E3A5EE" w14:textId="77777777" w:rsidR="00FD3698" w:rsidRDefault="00000000">
      <w:pPr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Trimestre: almeno due voti di teoria  e uno di pratica (laboratorio)</w:t>
      </w:r>
    </w:p>
    <w:p w14:paraId="67E3A5EF" w14:textId="77777777" w:rsidR="00FD3698" w:rsidRDefault="00000000">
      <w:pPr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Pentamestre: almeno due voti di teoria e due di pratica (laboratorio). </w:t>
      </w:r>
    </w:p>
    <w:p w14:paraId="67E3A5F0" w14:textId="77777777" w:rsidR="00FD3698" w:rsidRDefault="00000000">
      <w:pPr>
        <w:ind w:hanging="2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Per entrambi i periodi: eventuale valutazione del lavoro svolto a casa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i/>
          <w:sz w:val="22"/>
          <w:szCs w:val="22"/>
        </w:rPr>
        <w:t>A ciascuna prova di valutazione, in base alla tipologia e complessità,  potrebbe essere attribuito dal docente un peso % diverso dal 100% (ai fini della media), esplicitandolo  in Argo in fase di registrazione del voto.</w:t>
      </w:r>
      <w:r>
        <w:rPr>
          <w:rFonts w:ascii="Calibri" w:eastAsia="Calibri" w:hAnsi="Calibri" w:cs="Calibri"/>
          <w:i/>
          <w:sz w:val="22"/>
          <w:szCs w:val="22"/>
        </w:rPr>
        <w:br/>
        <w:t>Il voto di teoria prevede prove intercambiabili tra scritto e orale, in base al programma</w:t>
      </w:r>
    </w:p>
    <w:p w14:paraId="67E3A5F1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70C0"/>
          <w:sz w:val="22"/>
          <w:szCs w:val="22"/>
        </w:rPr>
      </w:pPr>
    </w:p>
    <w:p w14:paraId="67E3A5F2" w14:textId="77777777" w:rsidR="00FD3698" w:rsidRDefault="00FD3698">
      <w:pPr>
        <w:ind w:hanging="2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67E3A5F3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b/>
          <w:sz w:val="22"/>
          <w:szCs w:val="22"/>
        </w:rPr>
      </w:pPr>
      <w:r>
        <w:br w:type="page"/>
      </w:r>
    </w:p>
    <w:p w14:paraId="67E3A5F4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lastRenderedPageBreak/>
        <w:t xml:space="preserve">LABORATORIO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br/>
      </w:r>
      <w:r>
        <w:rPr>
          <w:rFonts w:ascii="Calibri" w:eastAsia="Calibri" w:hAnsi="Calibri" w:cs="Calibri"/>
          <w:i/>
          <w:color w:val="000000"/>
          <w:sz w:val="22"/>
          <w:szCs w:val="22"/>
        </w:rPr>
        <w:t>Programma di massima,  possibili esperienze di laboratorio, a scelta tra:</w:t>
      </w:r>
    </w:p>
    <w:p w14:paraId="67E3A5F5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p w14:paraId="67E3A5F6" w14:textId="77777777" w:rsidR="00FD3698" w:rsidRDefault="00000000">
      <w:pPr>
        <w:spacing w:before="240" w:after="240" w:line="276" w:lineRule="auto"/>
        <w:ind w:hanging="2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UD 1_2 - Metodi di analisi volumetrica, con reazioni acido/base</w:t>
      </w:r>
    </w:p>
    <w:p w14:paraId="67E3A5F7" w14:textId="77777777" w:rsidR="00FD3698" w:rsidRDefault="00000000">
      <w:pPr>
        <w:spacing w:before="240" w:after="240" w:line="276" w:lineRule="auto"/>
        <w:ind w:hanging="2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2"/>
          <w:szCs w:val="22"/>
        </w:rPr>
        <w:t>La tecnica (ripasso). Principi di analisi (analita, titolante, punto di equivalenza e punto di fine, indicatore). Standard: differenza tra standard primario e secondario.</w:t>
      </w:r>
      <w:r>
        <w:rPr>
          <w:rFonts w:ascii="Calibri" w:eastAsia="Calibri" w:hAnsi="Calibri" w:cs="Calibri"/>
          <w:b/>
          <w:color w:val="0000FF"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  <w:u w:val="single"/>
        </w:rPr>
        <w:t>Procedimento per preparare soluzioni (per pesata) a titolo approssimato e a titolo accuratamente noto.</w:t>
      </w:r>
      <w:r>
        <w:rPr>
          <w:rFonts w:ascii="Calibri" w:eastAsia="Calibri" w:hAnsi="Calibri" w:cs="Calibri"/>
          <w:sz w:val="22"/>
          <w:szCs w:val="22"/>
        </w:rPr>
        <w:t xml:space="preserve"> Sensibilità e accuratezza della misura.</w:t>
      </w:r>
      <w:r>
        <w:rPr>
          <w:rFonts w:ascii="Calibri" w:eastAsia="Calibri" w:hAnsi="Calibri" w:cs="Calibri"/>
          <w:sz w:val="22"/>
          <w:szCs w:val="22"/>
        </w:rPr>
        <w:br/>
        <w:t xml:space="preserve"> Preparazione soluzione standard primario (monoftalato acido di potassio), con  calcoli preventivi (“esattamente circa”) ed “effettivamente pesato” (bilancia analitica).  </w:t>
      </w:r>
      <w:r>
        <w:rPr>
          <w:rFonts w:ascii="Calibri" w:eastAsia="Calibri" w:hAnsi="Calibri" w:cs="Calibri"/>
          <w:sz w:val="22"/>
          <w:szCs w:val="22"/>
          <w:u w:val="single"/>
        </w:rPr>
        <w:t>Trasferimento quantitativo in matraccio. Avvinamento buretta.</w:t>
      </w:r>
      <w:r>
        <w:rPr>
          <w:rFonts w:ascii="Calibri" w:eastAsia="Calibri" w:hAnsi="Calibri" w:cs="Calibri"/>
          <w:sz w:val="22"/>
          <w:szCs w:val="22"/>
          <w:u w:val="single"/>
        </w:rPr>
        <w:br/>
      </w:r>
      <w:r>
        <w:rPr>
          <w:rFonts w:ascii="Calibri" w:eastAsia="Calibri" w:hAnsi="Calibri" w:cs="Calibri"/>
          <w:sz w:val="22"/>
          <w:szCs w:val="22"/>
          <w:u w:val="single"/>
        </w:rPr>
        <w:br/>
        <w:t>Indicatore colorimetrico acido-base</w:t>
      </w:r>
      <w:r>
        <w:rPr>
          <w:rFonts w:ascii="Calibri" w:eastAsia="Calibri" w:hAnsi="Calibri" w:cs="Calibri"/>
          <w:sz w:val="22"/>
          <w:szCs w:val="22"/>
        </w:rPr>
        <w:t>: viraggio di colore del blu di bromotimolo (demo).</w:t>
      </w:r>
      <w:r>
        <w:rPr>
          <w:rFonts w:ascii="Calibri" w:eastAsia="Calibri" w:hAnsi="Calibri" w:cs="Calibri"/>
          <w:sz w:val="22"/>
          <w:szCs w:val="22"/>
        </w:rPr>
        <w:br/>
        <w:t xml:space="preserve"> Titolazione di standardizzazione di NaOH con ftalato acido di potassio (soluzione di uno standard primario)</w:t>
      </w:r>
      <w:r>
        <w:rPr>
          <w:rFonts w:ascii="Calibri" w:eastAsia="Calibri" w:hAnsi="Calibri" w:cs="Calibri"/>
          <w:sz w:val="22"/>
          <w:szCs w:val="22"/>
        </w:rPr>
        <w:br/>
        <w:t xml:space="preserve"> </w:t>
      </w:r>
      <w:r>
        <w:rPr>
          <w:rFonts w:ascii="Calibri" w:eastAsia="Calibri" w:hAnsi="Calibri" w:cs="Calibri"/>
          <w:sz w:val="22"/>
          <w:szCs w:val="22"/>
          <w:u w:val="single"/>
        </w:rPr>
        <w:t>Titolazione acido base</w:t>
      </w:r>
      <w:r>
        <w:rPr>
          <w:rFonts w:ascii="Calibri" w:eastAsia="Calibri" w:hAnsi="Calibri" w:cs="Calibri"/>
          <w:sz w:val="22"/>
          <w:szCs w:val="22"/>
        </w:rPr>
        <w:t>: HCl con NaOH, con indicatore colorimetrico. Calcoli su titolazioni acido-base. Raccolta e analisi dei risultati della titolazione. Valore medio, range min-max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b/>
          <w:color w:val="1F497D"/>
          <w:sz w:val="22"/>
          <w:szCs w:val="22"/>
        </w:rPr>
        <w:br/>
        <w:t xml:space="preserve">Soluzioni tampone.  </w:t>
      </w:r>
      <w:r>
        <w:rPr>
          <w:rFonts w:ascii="Calibri" w:eastAsia="Calibri" w:hAnsi="Calibri" w:cs="Calibri"/>
          <w:b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</w:rPr>
        <w:t xml:space="preserve">Preparazione di una soluzione tampone . </w:t>
      </w:r>
      <w:r>
        <w:rPr>
          <w:rFonts w:ascii="Calibri" w:eastAsia="Calibri" w:hAnsi="Calibri" w:cs="Calibri"/>
          <w:sz w:val="22"/>
          <w:szCs w:val="22"/>
          <w:u w:val="single"/>
        </w:rPr>
        <w:t>Verifica del potere tamponante</w:t>
      </w:r>
      <w:r>
        <w:rPr>
          <w:rFonts w:ascii="Calibri" w:eastAsia="Calibri" w:hAnsi="Calibri" w:cs="Calibri"/>
          <w:sz w:val="22"/>
          <w:szCs w:val="22"/>
        </w:rPr>
        <w:t>: verifica variazione di pH per aggiunta di diversi quantitativi di HCl (o NaOH) ad una  soluzione tampone e non. Con l’utilizzo di un indicatore di pH colorimetrico universale e con il pHmetro</w:t>
      </w:r>
      <w:r>
        <w:rPr>
          <w:rFonts w:ascii="Calibri" w:eastAsia="Calibri" w:hAnsi="Calibri" w:cs="Calibri"/>
          <w:sz w:val="22"/>
          <w:szCs w:val="22"/>
        </w:rPr>
        <w:br/>
        <w:t xml:space="preserve">Come varia il potere tamponante se cambiano i rapporti di concentrazione della coppia (acido e sua base coniugata: HA/A-). 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color w:val="1F497D"/>
          <w:sz w:val="22"/>
          <w:szCs w:val="22"/>
        </w:rPr>
        <w:br/>
      </w:r>
      <w:r>
        <w:rPr>
          <w:rFonts w:ascii="Calibri" w:eastAsia="Calibri" w:hAnsi="Calibri" w:cs="Calibri"/>
        </w:rPr>
        <w:t>Introduzione ai metodi strumentali</w:t>
      </w:r>
    </w:p>
    <w:p w14:paraId="67E3A5F8" w14:textId="77777777" w:rsidR="00FD3698" w:rsidRDefault="00000000">
      <w:pPr>
        <w:spacing w:before="240" w:after="240"/>
        <w:ind w:hanging="2"/>
        <w:rPr>
          <w:rFonts w:ascii="Calibri" w:eastAsia="Calibri" w:hAnsi="Calibri" w:cs="Calibri"/>
          <w:sz w:val="22"/>
          <w:szCs w:val="22"/>
          <w:u w:val="single"/>
        </w:rPr>
      </w:pPr>
      <w:r>
        <w:rPr>
          <w:rFonts w:ascii="Calibri" w:eastAsia="Calibri" w:hAnsi="Calibri" w:cs="Calibri"/>
          <w:b/>
          <w:sz w:val="22"/>
          <w:szCs w:val="22"/>
        </w:rPr>
        <w:t>UD 3_ Potenziometria/ pHmetria:</w:t>
      </w:r>
      <w:r>
        <w:rPr>
          <w:rFonts w:ascii="Calibri" w:eastAsia="Calibri" w:hAnsi="Calibri" w:cs="Calibri"/>
          <w:b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  <w:u w:val="single"/>
        </w:rPr>
        <w:t>- strumentazione ed elettrodi</w:t>
      </w:r>
      <w:r>
        <w:rPr>
          <w:rFonts w:ascii="Calibri" w:eastAsia="Calibri" w:hAnsi="Calibri" w:cs="Calibri"/>
          <w:sz w:val="22"/>
          <w:szCs w:val="22"/>
          <w:u w:val="single"/>
        </w:rPr>
        <w:br/>
        <w:t xml:space="preserve">-Taratura pHmetro con soluzioni tampone. </w:t>
      </w:r>
      <w:r>
        <w:rPr>
          <w:rFonts w:ascii="Calibri" w:eastAsia="Calibri" w:hAnsi="Calibri" w:cs="Calibri"/>
          <w:sz w:val="22"/>
          <w:szCs w:val="22"/>
        </w:rPr>
        <w:t>Misure di pH di campioni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  <w:u w:val="single"/>
        </w:rPr>
        <w:t>Misura variazione di pH con pHmetro.</w:t>
      </w:r>
      <w:r>
        <w:rPr>
          <w:rFonts w:ascii="Calibri" w:eastAsia="Calibri" w:hAnsi="Calibri" w:cs="Calibri"/>
          <w:sz w:val="22"/>
          <w:szCs w:val="22"/>
          <w:u w:val="single"/>
        </w:rPr>
        <w:br/>
      </w:r>
      <w:r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sz w:val="22"/>
          <w:szCs w:val="22"/>
          <w:u w:val="single"/>
        </w:rPr>
        <w:t>Titolazione potenziometrica  acido/base e costruzione della curva di titolazione acido-base forte</w:t>
      </w:r>
      <w:r>
        <w:rPr>
          <w:rFonts w:ascii="Calibri" w:eastAsia="Calibri" w:hAnsi="Calibri" w:cs="Calibri"/>
          <w:b/>
          <w:sz w:val="22"/>
          <w:szCs w:val="22"/>
        </w:rPr>
        <w:t>.</w:t>
      </w:r>
      <w:r>
        <w:rPr>
          <w:rFonts w:ascii="Calibri" w:eastAsia="Calibri" w:hAnsi="Calibri" w:cs="Calibri"/>
          <w:b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</w:rPr>
        <w:t>Prova con  campione incognito (titolazione acido -base della concentrazione molare di acido acetico in un campione di aceto, con NaOH).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 xml:space="preserve">Come ricavare il Volume al p.e. con il </w:t>
      </w:r>
      <w:r>
        <w:rPr>
          <w:rFonts w:ascii="Calibri" w:eastAsia="Calibri" w:hAnsi="Calibri" w:cs="Calibri"/>
          <w:sz w:val="22"/>
          <w:szCs w:val="22"/>
          <w:u w:val="single"/>
        </w:rPr>
        <w:t>metodo grafico delle tangenti parallele</w:t>
      </w:r>
      <w:r>
        <w:rPr>
          <w:rFonts w:ascii="Calibri" w:eastAsia="Calibri" w:hAnsi="Calibri" w:cs="Calibri"/>
          <w:sz w:val="22"/>
          <w:szCs w:val="22"/>
          <w:u w:val="single"/>
        </w:rPr>
        <w:br/>
        <w:t xml:space="preserve"> </w:t>
      </w:r>
      <w:r>
        <w:rPr>
          <w:rFonts w:ascii="Calibri" w:eastAsia="Calibri" w:hAnsi="Calibri" w:cs="Calibri"/>
          <w:sz w:val="22"/>
          <w:szCs w:val="22"/>
        </w:rPr>
        <w:t xml:space="preserve">Calcolo Vp.e. di una titolazione A/B con </w:t>
      </w:r>
      <w:r>
        <w:rPr>
          <w:rFonts w:ascii="Calibri" w:eastAsia="Calibri" w:hAnsi="Calibri" w:cs="Calibri"/>
          <w:sz w:val="22"/>
          <w:szCs w:val="22"/>
          <w:u w:val="single"/>
        </w:rPr>
        <w:t>metodo della derivata prima (in excel)</w:t>
      </w:r>
      <w:r>
        <w:rPr>
          <w:rFonts w:ascii="Calibri" w:eastAsia="Calibri" w:hAnsi="Calibri" w:cs="Calibri"/>
          <w:sz w:val="22"/>
          <w:szCs w:val="22"/>
          <w:u w:val="single"/>
        </w:rPr>
        <w:br/>
      </w:r>
    </w:p>
    <w:p w14:paraId="67E3A5F9" w14:textId="77777777" w:rsidR="00FD3698" w:rsidRDefault="00000000">
      <w:pPr>
        <w:spacing w:before="240" w:after="240" w:line="276" w:lineRule="auto"/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lastRenderedPageBreak/>
        <w:t>UD 4-Metodi ottici</w:t>
      </w:r>
      <w:r>
        <w:rPr>
          <w:rFonts w:ascii="Calibri" w:eastAsia="Calibri" w:hAnsi="Calibri" w:cs="Calibri"/>
          <w:b/>
          <w:sz w:val="22"/>
          <w:szCs w:val="22"/>
        </w:rPr>
        <w:br/>
      </w:r>
      <w:r>
        <w:rPr>
          <w:rFonts w:ascii="Calibri" w:eastAsia="Calibri" w:hAnsi="Calibri" w:cs="Calibri"/>
          <w:sz w:val="22"/>
          <w:szCs w:val="22"/>
          <w:u w:val="single"/>
        </w:rPr>
        <w:t>Strumentazione UV/VIS (</w:t>
      </w:r>
      <w:r>
        <w:rPr>
          <w:rFonts w:ascii="Calibri" w:eastAsia="Calibri" w:hAnsi="Calibri" w:cs="Calibri"/>
          <w:sz w:val="22"/>
          <w:szCs w:val="22"/>
        </w:rPr>
        <w:t>a mono e doppio raggio). Scelta delle cuvette. Suo utilizzo</w:t>
      </w:r>
    </w:p>
    <w:p w14:paraId="67E3A5FA" w14:textId="77777777" w:rsidR="00FD3698" w:rsidRDefault="00000000">
      <w:pPr>
        <w:spacing w:before="240" w:after="240" w:line="276" w:lineRule="auto"/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  <w:u w:val="single"/>
        </w:rPr>
        <w:t>Spettro di assorbimento (continuo</w:t>
      </w:r>
      <w:r>
        <w:rPr>
          <w:rFonts w:ascii="Calibri" w:eastAsia="Calibri" w:hAnsi="Calibri" w:cs="Calibri"/>
          <w:sz w:val="22"/>
          <w:szCs w:val="22"/>
        </w:rPr>
        <w:t xml:space="preserve">) del permanganato (KMnO4): </w:t>
      </w:r>
      <w:r>
        <w:rPr>
          <w:rFonts w:ascii="Calibri" w:eastAsia="Calibri" w:hAnsi="Calibri" w:cs="Calibri"/>
          <w:sz w:val="22"/>
          <w:szCs w:val="22"/>
          <w:u w:val="single"/>
        </w:rPr>
        <w:t>ricerca della riga analitica</w:t>
      </w:r>
      <w:r>
        <w:rPr>
          <w:rFonts w:ascii="Calibri" w:eastAsia="Calibri" w:hAnsi="Calibri" w:cs="Calibri"/>
          <w:sz w:val="22"/>
          <w:szCs w:val="22"/>
        </w:rPr>
        <w:t xml:space="preserve"> (lambda max)</w:t>
      </w:r>
      <w:r>
        <w:rPr>
          <w:rFonts w:ascii="Calibri" w:eastAsia="Calibri" w:hAnsi="Calibri" w:cs="Calibri"/>
          <w:sz w:val="22"/>
          <w:szCs w:val="22"/>
        </w:rPr>
        <w:br/>
        <w:t>Determinazione dello spettro di assorbimento di coloranti alimentari</w:t>
      </w:r>
      <w:r>
        <w:rPr>
          <w:rFonts w:ascii="Calibri" w:eastAsia="Calibri" w:hAnsi="Calibri" w:cs="Calibri"/>
          <w:sz w:val="22"/>
          <w:szCs w:val="22"/>
        </w:rPr>
        <w:br/>
      </w:r>
      <w:r>
        <w:rPr>
          <w:rFonts w:ascii="Calibri" w:eastAsia="Calibri" w:hAnsi="Calibri" w:cs="Calibri"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b/>
          <w:sz w:val="22"/>
          <w:szCs w:val="22"/>
          <w:u w:val="single"/>
        </w:rPr>
        <w:t>Analisi quantitativa. Metodo di costruzione della retta di taratura</w:t>
      </w:r>
      <w:r>
        <w:rPr>
          <w:rFonts w:ascii="Calibri" w:eastAsia="Calibri" w:hAnsi="Calibri" w:cs="Calibri"/>
          <w:b/>
          <w:sz w:val="22"/>
          <w:szCs w:val="22"/>
          <w:u w:val="single"/>
        </w:rPr>
        <w:br/>
      </w:r>
      <w:r>
        <w:rPr>
          <w:rFonts w:ascii="Calibri" w:eastAsia="Calibri" w:hAnsi="Calibri" w:cs="Calibri"/>
          <w:sz w:val="22"/>
          <w:szCs w:val="22"/>
        </w:rPr>
        <w:t>Determinazione spettrofotometrica del contenuto di KMnO4:</w:t>
      </w:r>
      <w:r>
        <w:rPr>
          <w:rFonts w:ascii="Calibri" w:eastAsia="Calibri" w:hAnsi="Calibri" w:cs="Calibri"/>
          <w:sz w:val="22"/>
          <w:szCs w:val="22"/>
        </w:rPr>
        <w:br/>
        <w:t xml:space="preserve">preparazione serie di soluzioni standard di permanganato  per diluizione. </w:t>
      </w:r>
      <w:r>
        <w:rPr>
          <w:sz w:val="14"/>
          <w:szCs w:val="14"/>
        </w:rPr>
        <w:t xml:space="preserve">   </w:t>
      </w:r>
      <w:r>
        <w:rPr>
          <w:rFonts w:ascii="Calibri" w:eastAsia="Calibri" w:hAnsi="Calibri" w:cs="Calibri"/>
          <w:sz w:val="22"/>
          <w:szCs w:val="22"/>
          <w:u w:val="single"/>
        </w:rPr>
        <w:t>Costruzione della retta di taratura del KMnO</w:t>
      </w:r>
      <w:r>
        <w:rPr>
          <w:rFonts w:ascii="Calibri" w:eastAsia="Calibri" w:hAnsi="Calibri" w:cs="Calibri"/>
          <w:sz w:val="22"/>
          <w:szCs w:val="22"/>
          <w:u w:val="single"/>
          <w:vertAlign w:val="subscript"/>
        </w:rPr>
        <w:t>4</w:t>
      </w:r>
      <w:r>
        <w:rPr>
          <w:sz w:val="14"/>
          <w:szCs w:val="14"/>
        </w:rPr>
        <w:t xml:space="preserve">     </w:t>
      </w:r>
      <w:r>
        <w:rPr>
          <w:rFonts w:ascii="Calibri" w:eastAsia="Calibri" w:hAnsi="Calibri" w:cs="Calibri"/>
          <w:sz w:val="22"/>
          <w:szCs w:val="22"/>
          <w:u w:val="single"/>
        </w:rPr>
        <w:t>Determinazione del contenuto di</w:t>
      </w:r>
      <w:r>
        <w:rPr>
          <w:rFonts w:ascii="Calibri" w:eastAsia="Calibri" w:hAnsi="Calibri" w:cs="Calibri"/>
          <w:sz w:val="22"/>
          <w:szCs w:val="22"/>
        </w:rPr>
        <w:t xml:space="preserve"> KMnO</w:t>
      </w:r>
      <w:r>
        <w:rPr>
          <w:rFonts w:ascii="Calibri" w:eastAsia="Calibri" w:hAnsi="Calibri" w:cs="Calibri"/>
          <w:sz w:val="22"/>
          <w:szCs w:val="22"/>
          <w:vertAlign w:val="subscript"/>
        </w:rPr>
        <w:t>4</w:t>
      </w:r>
      <w:r>
        <w:rPr>
          <w:rFonts w:ascii="Calibri" w:eastAsia="Calibri" w:hAnsi="Calibri" w:cs="Calibri"/>
          <w:sz w:val="22"/>
          <w:szCs w:val="22"/>
        </w:rPr>
        <w:t xml:space="preserve"> di un campione incognito</w:t>
      </w:r>
      <w:r>
        <w:rPr>
          <w:rFonts w:ascii="Calibri" w:eastAsia="Calibri" w:hAnsi="Calibri" w:cs="Calibri"/>
          <w:sz w:val="22"/>
          <w:szCs w:val="22"/>
        </w:rPr>
        <w:br/>
        <w:t>Determinazione spettrofotometrica del contenuto di fosfato nella coca cola:</w:t>
      </w:r>
      <w:r>
        <w:rPr>
          <w:rFonts w:ascii="Calibri" w:eastAsia="Calibri" w:hAnsi="Calibri" w:cs="Calibri"/>
          <w:sz w:val="22"/>
          <w:szCs w:val="22"/>
        </w:rPr>
        <w:br/>
        <w:t xml:space="preserve">preparazione serie di soluzioni standard per  diluizione. </w:t>
      </w:r>
      <w:r>
        <w:rPr>
          <w:sz w:val="14"/>
          <w:szCs w:val="14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 xml:space="preserve">Costruzione della retta di taratura del fosfato.Determinazione  del contenuto di acido fosforico nella Coca Cola </w:t>
      </w:r>
      <w:r>
        <w:rPr>
          <w:rFonts w:ascii="Calibri" w:eastAsia="Calibri" w:hAnsi="Calibri" w:cs="Calibri"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b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b/>
          <w:color w:val="1F497D"/>
          <w:sz w:val="22"/>
          <w:szCs w:val="22"/>
        </w:rPr>
        <w:br/>
      </w:r>
      <w:r>
        <w:rPr>
          <w:rFonts w:ascii="Calibri" w:eastAsia="Calibri" w:hAnsi="Calibri" w:cs="Calibri"/>
          <w:b/>
          <w:sz w:val="22"/>
          <w:szCs w:val="22"/>
        </w:rPr>
        <w:t>UD 5_ In base alla tecnica scelta:</w:t>
      </w:r>
      <w:r>
        <w:rPr>
          <w:rFonts w:ascii="Calibri" w:eastAsia="Calibri" w:hAnsi="Calibri" w:cs="Calibri"/>
          <w:b/>
          <w:sz w:val="22"/>
          <w:szCs w:val="22"/>
        </w:rPr>
        <w:br/>
        <w:t>Introduzione alla spettrofotometria in Assorbimento Atomico</w:t>
      </w:r>
    </w:p>
    <w:p w14:paraId="67E3A5FB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Rette in AAS per Ferro</w:t>
      </w:r>
    </w:p>
    <w:p w14:paraId="67E3A5FC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Analisi in AAS del ferro in vari tipi di alimenti (previo incenerimento)</w:t>
      </w:r>
    </w:p>
    <w:p w14:paraId="67E3A5FD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Analisi in AAS del rame nel vino</w:t>
      </w:r>
    </w:p>
    <w:p w14:paraId="67E3A5FE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p w14:paraId="67E3A5FF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Presentazione dei metodi di registrazione degli spettri IR di solidi e liqudi</w:t>
      </w:r>
    </w:p>
    <w:p w14:paraId="67E3A600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Registrazione di spettri di molecole organiche</w:t>
      </w:r>
    </w:p>
    <w:p w14:paraId="67E3A601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p w14:paraId="67E3A602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Presentazione dei metodi cromatografici (HPLC)</w:t>
      </w:r>
    </w:p>
    <w:p w14:paraId="67E3A603" w14:textId="77777777" w:rsidR="00FD3698" w:rsidRDefault="00000000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Analisi del contenuto di caffeina in alcune bevande, con costruzione della retta di taratura</w:t>
      </w:r>
    </w:p>
    <w:p w14:paraId="67E3A604" w14:textId="77777777" w:rsidR="00FD3698" w:rsidRDefault="00FD3698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</w:p>
    <w:sectPr w:rsidR="00FD3698">
      <w:pgSz w:w="16838" w:h="11906" w:orient="landscape"/>
      <w:pgMar w:top="851" w:right="1134" w:bottom="851" w:left="1134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C96E64B-B363-496F-9F48-65E20DCDD1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F841A79-A79A-4628-990E-704D5B1B8E4B}"/>
    <w:embedItalic r:id="rId3" w:fontKey="{B138A9A5-B342-49F6-BE67-9202D7BBB97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51A5C4F6-07BB-4B59-B959-6DFFC815AA3A}"/>
    <w:embedBold r:id="rId5" w:fontKey="{D1D79C1B-49D9-46B7-BC03-7391ADBD6A03}"/>
    <w:embedItalic r:id="rId6" w:fontKey="{4F1D9278-7757-4393-8AD0-E351BCA5CFC7}"/>
    <w:embedBoldItalic r:id="rId7" w:fontKey="{B9C6006F-C113-495E-BB51-0165E5733E7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271788E-2937-4D65-B951-DB0712C32BB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77719F"/>
    <w:multiLevelType w:val="multilevel"/>
    <w:tmpl w:val="529E07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233D01B8"/>
    <w:multiLevelType w:val="multilevel"/>
    <w:tmpl w:val="3DBCC9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4A32FE4"/>
    <w:multiLevelType w:val="multilevel"/>
    <w:tmpl w:val="FB2C58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5B8374B9"/>
    <w:multiLevelType w:val="multilevel"/>
    <w:tmpl w:val="8086F75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68A66C67"/>
    <w:multiLevelType w:val="multilevel"/>
    <w:tmpl w:val="F95AA78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7830431">
    <w:abstractNumId w:val="1"/>
  </w:num>
  <w:num w:numId="2" w16cid:durableId="543832817">
    <w:abstractNumId w:val="0"/>
  </w:num>
  <w:num w:numId="3" w16cid:durableId="1462571292">
    <w:abstractNumId w:val="3"/>
  </w:num>
  <w:num w:numId="4" w16cid:durableId="224611390">
    <w:abstractNumId w:val="4"/>
  </w:num>
  <w:num w:numId="5" w16cid:durableId="809633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698"/>
    <w:rsid w:val="001B0935"/>
    <w:rsid w:val="002644AA"/>
    <w:rsid w:val="00AC6EF9"/>
    <w:rsid w:val="00B8270C"/>
    <w:rsid w:val="00D61828"/>
    <w:rsid w:val="00E533BE"/>
    <w:rsid w:val="00FD36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3A4FC"/>
  <w15:docId w15:val="{0FF5CC4B-1075-4ED6-B6CA-6AC76FEB0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" w:eastAsia="it-IT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80" w:type="dxa"/>
        <w:left w:w="80" w:type="dxa"/>
        <w:bottom w:w="80" w:type="dxa"/>
        <w:right w:w="8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n7WRJv+VuKRcIdKiHrYJhvNzLQ==">CgMxLjAyCWguMzBqMHpsbDIIaC5namRneHM4AHIhMWRoTGpXTXBYcnZ5UUwwY2swelJyRGZDY3lGWnhyS3l3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1411</Words>
  <Characters>8049</Characters>
  <Application>Microsoft Office Word</Application>
  <DocSecurity>0</DocSecurity>
  <Lines>67</Lines>
  <Paragraphs>18</Paragraphs>
  <ScaleCrop>false</ScaleCrop>
  <Company/>
  <LinksUpToDate>false</LinksUpToDate>
  <CharactersWithSpaces>9442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francesco</dc:creator>
  <cp:lastModifiedBy>Katia Rosa</cp:lastModifiedBy>
  <cp:revision>5</cp:revision>
  <dcterms:created xsi:type="dcterms:W3CDTF">2023-10-18T13:53:00Z</dcterms:created>
  <dcterms:modified xsi:type="dcterms:W3CDTF">2026-01-06T16:56:00Z</dcterms:modified>
</cp:coreProperties>
</file>